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DE" w:rsidRPr="007D3A08" w:rsidRDefault="00F535DE" w:rsidP="007D3A08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3A08">
        <w:rPr>
          <w:rFonts w:ascii="Times New Roman" w:hAnsi="Times New Roman" w:cs="Times New Roman"/>
          <w:b/>
          <w:sz w:val="28"/>
          <w:szCs w:val="28"/>
          <w:lang w:val="uk-UA"/>
        </w:rPr>
        <w:t>ПАМ’ЯТКА</w:t>
      </w:r>
    </w:p>
    <w:p w:rsidR="00F535DE" w:rsidRPr="007D3A08" w:rsidRDefault="00F535DE" w:rsidP="007D3A08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3A08">
        <w:rPr>
          <w:rFonts w:ascii="Times New Roman" w:hAnsi="Times New Roman" w:cs="Times New Roman"/>
          <w:b/>
          <w:sz w:val="28"/>
          <w:szCs w:val="28"/>
          <w:lang w:val="uk-UA"/>
        </w:rPr>
        <w:t>щодо п</w:t>
      </w:r>
      <w:r w:rsidR="00F77CF1" w:rsidRPr="007D3A08">
        <w:rPr>
          <w:rFonts w:ascii="Times New Roman" w:hAnsi="Times New Roman" w:cs="Times New Roman"/>
          <w:b/>
          <w:sz w:val="28"/>
          <w:szCs w:val="28"/>
          <w:lang w:val="uk-UA"/>
        </w:rPr>
        <w:t>овідомлення про відкриття валютного рахунка (ПВВР)</w:t>
      </w:r>
    </w:p>
    <w:p w:rsidR="0069027E" w:rsidRPr="007D3A08" w:rsidRDefault="0069027E" w:rsidP="007D3A08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7CF1" w:rsidRPr="007D3A08" w:rsidRDefault="00B15A0C" w:rsidP="007D3A0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3A08">
        <w:rPr>
          <w:rFonts w:ascii="Times New Roman" w:hAnsi="Times New Roman" w:cs="Times New Roman"/>
          <w:sz w:val="28"/>
          <w:szCs w:val="28"/>
          <w:lang w:val="uk-UA"/>
        </w:rPr>
        <w:t>Повідомлення про відкриття валютного рахунку</w:t>
      </w:r>
      <w:r w:rsidR="00F77CF1" w:rsidRPr="007D3A0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F77CF1" w:rsidRPr="007D3A08">
        <w:rPr>
          <w:rFonts w:ascii="Times New Roman" w:hAnsi="Times New Roman" w:cs="Times New Roman"/>
          <w:i/>
          <w:sz w:val="28"/>
          <w:szCs w:val="28"/>
          <w:lang w:val="uk-UA"/>
        </w:rPr>
        <w:t>одається в електронній формі.</w:t>
      </w:r>
    </w:p>
    <w:p w:rsidR="00F77CF1" w:rsidRPr="007D3A08" w:rsidRDefault="00F77CF1" w:rsidP="007D3A0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3A08">
        <w:rPr>
          <w:rFonts w:ascii="Times New Roman" w:hAnsi="Times New Roman" w:cs="Times New Roman"/>
          <w:b/>
          <w:sz w:val="28"/>
          <w:szCs w:val="28"/>
          <w:lang w:val="uk-UA"/>
        </w:rPr>
        <w:t>Суб’єкт декларування</w:t>
      </w:r>
      <w:r w:rsidRPr="007D3A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3A08">
        <w:rPr>
          <w:rFonts w:ascii="Times New Roman" w:hAnsi="Times New Roman" w:cs="Times New Roman"/>
          <w:b/>
          <w:sz w:val="28"/>
          <w:szCs w:val="28"/>
          <w:lang w:val="uk-UA"/>
        </w:rPr>
        <w:t>зобов’язаний повідомити</w:t>
      </w:r>
      <w:r w:rsidRPr="007D3A08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Національне агентство про відкриття валютного рахунка в установі банку-нерезидента </w:t>
      </w:r>
      <w:r w:rsidRPr="007D3A08">
        <w:rPr>
          <w:rFonts w:ascii="Times New Roman" w:hAnsi="Times New Roman" w:cs="Times New Roman"/>
          <w:b/>
          <w:sz w:val="28"/>
          <w:szCs w:val="28"/>
          <w:lang w:val="uk-UA"/>
        </w:rPr>
        <w:t>у 10-денний строк з дня:</w:t>
      </w:r>
    </w:p>
    <w:p w:rsidR="00F77CF1" w:rsidRPr="007D3A08" w:rsidRDefault="00F77CF1" w:rsidP="007D3A08">
      <w:pPr>
        <w:pStyle w:val="a7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A08">
        <w:rPr>
          <w:rFonts w:ascii="Times New Roman" w:hAnsi="Times New Roman" w:cs="Times New Roman"/>
          <w:sz w:val="28"/>
          <w:szCs w:val="28"/>
          <w:lang w:val="uk-UA"/>
        </w:rPr>
        <w:t>коли суб’єкт декларування або член його сім’ї відкрив валютний рахунок;</w:t>
      </w:r>
    </w:p>
    <w:p w:rsidR="00F77CF1" w:rsidRPr="007D3A08" w:rsidRDefault="00F77CF1" w:rsidP="007D3A08">
      <w:pPr>
        <w:pStyle w:val="a7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A08">
        <w:rPr>
          <w:rFonts w:ascii="Times New Roman" w:hAnsi="Times New Roman" w:cs="Times New Roman"/>
          <w:sz w:val="28"/>
          <w:szCs w:val="28"/>
          <w:lang w:val="uk-UA"/>
        </w:rPr>
        <w:t>коли суб’єкту декларування стало відомо або повинно було стати відомо про відкриття такого рахунка членом його сім’ї (п. 3 Порядку № 451/21).</w:t>
      </w:r>
    </w:p>
    <w:p w:rsidR="00F77CF1" w:rsidRPr="007D3A08" w:rsidRDefault="00F77CF1" w:rsidP="007D3A0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A08">
        <w:rPr>
          <w:rFonts w:ascii="Times New Roman" w:hAnsi="Times New Roman" w:cs="Times New Roman"/>
          <w:sz w:val="28"/>
          <w:szCs w:val="28"/>
          <w:lang w:val="uk-UA"/>
        </w:rPr>
        <w:t>Суб’єкт декларування </w:t>
      </w:r>
      <w:r w:rsidRPr="007D3A08">
        <w:rPr>
          <w:rFonts w:ascii="Times New Roman" w:hAnsi="Times New Roman" w:cs="Times New Roman"/>
          <w:b/>
          <w:sz w:val="28"/>
          <w:szCs w:val="28"/>
          <w:lang w:val="uk-UA"/>
        </w:rPr>
        <w:t>особисто заповнює</w:t>
      </w:r>
      <w:r w:rsidRPr="007D3A0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відповідну електронну форму повідомлення про відкриття ним або членом його сім’ї валютного рахунка в установі банку-нерезидента (далі – повідомлення) після автентифікації у персональному електронному кабінеті Реєстру (п. 4 Порядку № 451/21).</w:t>
      </w:r>
    </w:p>
    <w:p w:rsidR="00F77CF1" w:rsidRPr="007D3A08" w:rsidRDefault="00F77CF1" w:rsidP="007D3A0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A08">
        <w:rPr>
          <w:rFonts w:ascii="Times New Roman" w:hAnsi="Times New Roman" w:cs="Times New Roman"/>
          <w:sz w:val="28"/>
          <w:szCs w:val="28"/>
          <w:lang w:val="uk-UA"/>
        </w:rPr>
        <w:t>Подання ПВВР до Реєстру підтверджується листами на електронну пошту суб’єкта декларування та у персональному електронному кабінеті суб’єкта декларування.</w:t>
      </w:r>
    </w:p>
    <w:p w:rsidR="00F77CF1" w:rsidRPr="007D3A08" w:rsidRDefault="00F77CF1" w:rsidP="007D3A0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A08">
        <w:rPr>
          <w:rFonts w:ascii="Times New Roman" w:hAnsi="Times New Roman" w:cs="Times New Roman"/>
          <w:sz w:val="28"/>
          <w:szCs w:val="28"/>
          <w:lang w:val="uk-UA"/>
        </w:rPr>
        <w:t>ПВВР подається незалежно від того, перебуває суб’єкт декларування в Україні чи за її межами.</w:t>
      </w:r>
    </w:p>
    <w:p w:rsidR="00F77CF1" w:rsidRPr="007D3A08" w:rsidRDefault="00F77CF1" w:rsidP="007D3A0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A08">
        <w:rPr>
          <w:rFonts w:ascii="Times New Roman" w:hAnsi="Times New Roman" w:cs="Times New Roman"/>
          <w:sz w:val="28"/>
          <w:szCs w:val="28"/>
          <w:lang w:val="uk-UA"/>
        </w:rPr>
        <w:t>ПВВР в паперовій формі не подається (п. 7 Порядку № 451/21).</w:t>
      </w:r>
    </w:p>
    <w:p w:rsidR="007D3A08" w:rsidRPr="007D3A08" w:rsidRDefault="007D3A08" w:rsidP="007D3A0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A08">
        <w:rPr>
          <w:rFonts w:ascii="Times New Roman" w:hAnsi="Times New Roman" w:cs="Times New Roman"/>
          <w:sz w:val="28"/>
          <w:szCs w:val="28"/>
          <w:lang w:val="uk-UA"/>
        </w:rPr>
        <w:t xml:space="preserve">Якщо суб’єкт декларування або член його сім’ї </w:t>
      </w:r>
      <w:r w:rsidRPr="007D3A08">
        <w:rPr>
          <w:rFonts w:ascii="Times New Roman" w:hAnsi="Times New Roman" w:cs="Times New Roman"/>
          <w:b/>
          <w:sz w:val="28"/>
          <w:szCs w:val="28"/>
          <w:lang w:val="uk-UA"/>
        </w:rPr>
        <w:t>відкрив в один день декілька валютних рахунків</w:t>
      </w:r>
      <w:r w:rsidRPr="007D3A08">
        <w:rPr>
          <w:rFonts w:ascii="Times New Roman" w:hAnsi="Times New Roman" w:cs="Times New Roman"/>
          <w:sz w:val="28"/>
          <w:szCs w:val="28"/>
          <w:lang w:val="uk-UA"/>
        </w:rPr>
        <w:t xml:space="preserve"> в одній установі банку-нерезидента, суб’єкт декларування подає одне ПВВР із зазначенням номерів відповідних валютних рахунків і місцезнаходження установи банку-нерезидента.</w:t>
      </w:r>
    </w:p>
    <w:p w:rsidR="007D3A08" w:rsidRPr="007D3A08" w:rsidRDefault="007D3A08" w:rsidP="007D3A0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A08">
        <w:rPr>
          <w:rFonts w:ascii="Times New Roman" w:hAnsi="Times New Roman" w:cs="Times New Roman"/>
          <w:sz w:val="28"/>
          <w:szCs w:val="28"/>
          <w:lang w:val="uk-UA"/>
        </w:rPr>
        <w:t xml:space="preserve">Якщо валютні рахунки відкриті в один день як суб’єктом декларування, так і членом його сім’ї, або якщо валютні рахунки відкриті </w:t>
      </w:r>
      <w:r w:rsidRPr="007D3A08">
        <w:rPr>
          <w:rFonts w:ascii="Times New Roman" w:hAnsi="Times New Roman" w:cs="Times New Roman"/>
          <w:b/>
          <w:sz w:val="28"/>
          <w:szCs w:val="28"/>
          <w:lang w:val="uk-UA"/>
        </w:rPr>
        <w:t>в різних установах банку</w:t>
      </w:r>
      <w:r w:rsidRPr="007D3A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D3A08">
        <w:rPr>
          <w:rFonts w:ascii="Times New Roman" w:hAnsi="Times New Roman" w:cs="Times New Roman"/>
          <w:b/>
          <w:sz w:val="28"/>
          <w:szCs w:val="28"/>
          <w:lang w:val="uk-UA"/>
        </w:rPr>
        <w:t>нерезидента</w:t>
      </w:r>
      <w:r w:rsidRPr="007D3A08">
        <w:rPr>
          <w:rFonts w:ascii="Times New Roman" w:hAnsi="Times New Roman" w:cs="Times New Roman"/>
          <w:sz w:val="28"/>
          <w:szCs w:val="28"/>
          <w:lang w:val="uk-UA"/>
        </w:rPr>
        <w:t>, подаються окремі ПВВР стосовно кожної особи чи кожної установи банку-нерезидента (п. 5 Порядку № 451/21).</w:t>
      </w:r>
    </w:p>
    <w:p w:rsidR="00B15A0C" w:rsidRPr="007D3A08" w:rsidRDefault="00B15A0C" w:rsidP="007D3A0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7CF1" w:rsidRPr="007D3A08" w:rsidRDefault="00B15A0C" w:rsidP="007D3A0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A0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77CF1" w:rsidRPr="007D3A08">
        <w:rPr>
          <w:rFonts w:ascii="Times New Roman" w:hAnsi="Times New Roman" w:cs="Times New Roman"/>
          <w:sz w:val="28"/>
          <w:szCs w:val="28"/>
          <w:lang w:val="uk-UA"/>
        </w:rPr>
        <w:t xml:space="preserve"> суб’єкта декларування </w:t>
      </w:r>
      <w:r w:rsidR="00F77CF1" w:rsidRPr="007D3A08">
        <w:rPr>
          <w:rFonts w:ascii="Times New Roman" w:hAnsi="Times New Roman" w:cs="Times New Roman"/>
          <w:b/>
          <w:sz w:val="28"/>
          <w:szCs w:val="28"/>
          <w:lang w:val="uk-UA"/>
        </w:rPr>
        <w:t>припи</w:t>
      </w:r>
      <w:r w:rsidRPr="007D3A08">
        <w:rPr>
          <w:rFonts w:ascii="Times New Roman" w:hAnsi="Times New Roman" w:cs="Times New Roman"/>
          <w:b/>
          <w:sz w:val="28"/>
          <w:szCs w:val="28"/>
          <w:lang w:val="uk-UA"/>
        </w:rPr>
        <w:t>няється обов’язок</w:t>
      </w:r>
      <w:r w:rsidRPr="007D3A08">
        <w:rPr>
          <w:rFonts w:ascii="Times New Roman" w:hAnsi="Times New Roman" w:cs="Times New Roman"/>
          <w:sz w:val="28"/>
          <w:szCs w:val="28"/>
          <w:lang w:val="uk-UA"/>
        </w:rPr>
        <w:t xml:space="preserve"> подавати ПВВР п</w:t>
      </w:r>
      <w:r w:rsidR="00F77CF1" w:rsidRPr="007D3A08">
        <w:rPr>
          <w:rFonts w:ascii="Times New Roman" w:hAnsi="Times New Roman" w:cs="Times New Roman"/>
          <w:sz w:val="28"/>
          <w:szCs w:val="28"/>
          <w:lang w:val="uk-UA"/>
        </w:rPr>
        <w:t>ісля припинення виконання функцій держави</w:t>
      </w:r>
      <w:r w:rsidR="007D3A08" w:rsidRPr="007D3A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77CF1" w:rsidRPr="007D3A08">
        <w:rPr>
          <w:rFonts w:ascii="Times New Roman" w:hAnsi="Times New Roman" w:cs="Times New Roman"/>
          <w:sz w:val="28"/>
          <w:szCs w:val="28"/>
          <w:lang w:val="uk-UA"/>
        </w:rPr>
        <w:t xml:space="preserve"> або місцевого самоврядування</w:t>
      </w:r>
      <w:r w:rsidR="007D3A08" w:rsidRPr="007D3A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77CF1" w:rsidRPr="007D3A08">
        <w:rPr>
          <w:rFonts w:ascii="Times New Roman" w:hAnsi="Times New Roman" w:cs="Times New Roman"/>
          <w:sz w:val="28"/>
          <w:szCs w:val="28"/>
          <w:lang w:val="uk-UA"/>
        </w:rPr>
        <w:t xml:space="preserve"> або перебування на посаді, що зумовлює здійснення діяльності, яка передбачає обов’язок подання декларації.</w:t>
      </w:r>
    </w:p>
    <w:p w:rsidR="00F535DE" w:rsidRPr="007D3A08" w:rsidRDefault="00F77CF1" w:rsidP="007D3A0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A08">
        <w:rPr>
          <w:rFonts w:ascii="Times New Roman" w:hAnsi="Times New Roman" w:cs="Times New Roman"/>
          <w:sz w:val="28"/>
          <w:szCs w:val="28"/>
          <w:lang w:val="uk-UA"/>
        </w:rPr>
        <w:t>Це може бути звільнення суб’єкта декларування або переведення на іншу посаду, яка не передбачає виконання функцій держави або місцевого самоврядування.</w:t>
      </w:r>
    </w:p>
    <w:p w:rsidR="00B15A0C" w:rsidRPr="007D3A08" w:rsidRDefault="00B15A0C" w:rsidP="007D3A0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3A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A289A" w:rsidRPr="007D3A0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7D3A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Не потрібно </w:t>
      </w:r>
      <w:r w:rsidR="00F77CF1" w:rsidRPr="007D3A08">
        <w:rPr>
          <w:rFonts w:ascii="Times New Roman" w:hAnsi="Times New Roman" w:cs="Times New Roman"/>
          <w:i/>
          <w:sz w:val="28"/>
          <w:szCs w:val="28"/>
          <w:lang w:val="uk-UA"/>
        </w:rPr>
        <w:t>повідомляти про відкриття броке</w:t>
      </w:r>
      <w:r w:rsidRPr="007D3A08">
        <w:rPr>
          <w:rFonts w:ascii="Times New Roman" w:hAnsi="Times New Roman" w:cs="Times New Roman"/>
          <w:i/>
          <w:sz w:val="28"/>
          <w:szCs w:val="28"/>
          <w:lang w:val="uk-UA"/>
        </w:rPr>
        <w:t>рського, інвестиційного рахунку .</w:t>
      </w:r>
    </w:p>
    <w:p w:rsidR="00F77CF1" w:rsidRPr="007D3A08" w:rsidRDefault="00F77CF1" w:rsidP="007D3A0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A08">
        <w:rPr>
          <w:rFonts w:ascii="Times New Roman" w:hAnsi="Times New Roman" w:cs="Times New Roman"/>
          <w:b/>
          <w:i/>
          <w:sz w:val="28"/>
          <w:szCs w:val="28"/>
          <w:lang w:val="uk-UA"/>
        </w:rPr>
        <w:t>Суб’єкт декларування зобов’язаний повідомити Національне агентство про відкриття ним або членом його сім’ї валютного рахунка в установі банку-нерезидента</w:t>
      </w:r>
      <w:r w:rsidRPr="007D3A08">
        <w:rPr>
          <w:rFonts w:ascii="Times New Roman" w:hAnsi="Times New Roman" w:cs="Times New Roman"/>
          <w:sz w:val="28"/>
          <w:szCs w:val="28"/>
          <w:lang w:val="uk-UA"/>
        </w:rPr>
        <w:t> (ч. 1 ст. 52 Закону).</w:t>
      </w:r>
    </w:p>
    <w:p w:rsidR="00F77CF1" w:rsidRPr="007D3A08" w:rsidRDefault="00F77CF1" w:rsidP="007D3A0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A08">
        <w:rPr>
          <w:rFonts w:ascii="Times New Roman" w:hAnsi="Times New Roman" w:cs="Times New Roman"/>
          <w:sz w:val="28"/>
          <w:szCs w:val="28"/>
          <w:lang w:val="uk-UA"/>
        </w:rPr>
        <w:t>Повідомлення про відкриття інших рахунків, які обслуговуються юридичними особами, які не є установами банку-нерезидента, до Національного агентства не подаються.</w:t>
      </w:r>
    </w:p>
    <w:p w:rsidR="00F77CF1" w:rsidRPr="007D3A08" w:rsidRDefault="00F77CF1" w:rsidP="007D3A0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A0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Валютний рахунок</w:t>
      </w:r>
      <w:r w:rsidRPr="007D3A08">
        <w:rPr>
          <w:rFonts w:ascii="Times New Roman" w:hAnsi="Times New Roman" w:cs="Times New Roman"/>
          <w:sz w:val="28"/>
          <w:szCs w:val="28"/>
          <w:lang w:val="uk-UA"/>
        </w:rPr>
        <w:t xml:space="preserve"> – будь-який рахунок суб’єкта декларування або члена його сім’ї, відкритий в установі банку-нерезидента в будь-якій валюті (п. 2 Порядку № 451/21).</w:t>
      </w:r>
    </w:p>
    <w:p w:rsidR="00F77CF1" w:rsidRPr="007D3A08" w:rsidRDefault="00F77CF1" w:rsidP="007D3A0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A08">
        <w:rPr>
          <w:rFonts w:ascii="Times New Roman" w:hAnsi="Times New Roman" w:cs="Times New Roman"/>
          <w:b/>
          <w:sz w:val="28"/>
          <w:szCs w:val="28"/>
          <w:lang w:val="uk-UA"/>
        </w:rPr>
        <w:t>Установа банку-нерезидента</w:t>
      </w:r>
      <w:r w:rsidRPr="007D3A08">
        <w:rPr>
          <w:rFonts w:ascii="Times New Roman" w:hAnsi="Times New Roman" w:cs="Times New Roman"/>
          <w:sz w:val="28"/>
          <w:szCs w:val="28"/>
          <w:lang w:val="uk-UA"/>
        </w:rPr>
        <w:t xml:space="preserve"> – юридична особа – нерезидент будь-якої організаційно-правової форми, яка є банком, її відокремлені підрозділи (філії, відділення), що створені і діють відповідно до законодавства іноземної держави та з місцезнаходженням за межами України (п. 2 Порядку № 451/21).</w:t>
      </w:r>
    </w:p>
    <w:p w:rsidR="00F77CF1" w:rsidRPr="007D3A08" w:rsidRDefault="00F77CF1" w:rsidP="007D3A0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A08">
        <w:rPr>
          <w:rFonts w:ascii="Times New Roman" w:hAnsi="Times New Roman" w:cs="Times New Roman"/>
          <w:b/>
          <w:sz w:val="28"/>
          <w:szCs w:val="28"/>
          <w:lang w:val="uk-UA"/>
        </w:rPr>
        <w:t>Банк</w:t>
      </w:r>
      <w:r w:rsidRPr="007D3A08">
        <w:rPr>
          <w:rFonts w:ascii="Times New Roman" w:hAnsi="Times New Roman" w:cs="Times New Roman"/>
          <w:sz w:val="28"/>
          <w:szCs w:val="28"/>
          <w:lang w:val="uk-UA"/>
        </w:rPr>
        <w:t xml:space="preserve"> – юридична особа, яка на підставі банківської ліцензії має виключне право надавати банківські послуги (ст. 2 Закону України «Про банки і банківську діяльність»).</w:t>
      </w:r>
    </w:p>
    <w:p w:rsidR="00F77CF1" w:rsidRPr="007D3A08" w:rsidRDefault="00F77CF1" w:rsidP="007D3A0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A08">
        <w:rPr>
          <w:rFonts w:ascii="Times New Roman" w:hAnsi="Times New Roman" w:cs="Times New Roman"/>
          <w:b/>
          <w:sz w:val="28"/>
          <w:szCs w:val="28"/>
          <w:lang w:val="uk-UA"/>
        </w:rPr>
        <w:t>Валюта</w:t>
      </w:r>
      <w:r w:rsidRPr="007D3A08">
        <w:rPr>
          <w:rFonts w:ascii="Times New Roman" w:hAnsi="Times New Roman" w:cs="Times New Roman"/>
          <w:sz w:val="28"/>
          <w:szCs w:val="28"/>
          <w:lang w:val="uk-UA"/>
        </w:rPr>
        <w:t xml:space="preserve"> – національна валюта України та іноземна валюта.</w:t>
      </w:r>
    </w:p>
    <w:p w:rsidR="00F77CF1" w:rsidRPr="007D3A08" w:rsidRDefault="00F77CF1" w:rsidP="007D3A0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3A08">
        <w:rPr>
          <w:rFonts w:ascii="Times New Roman" w:hAnsi="Times New Roman" w:cs="Times New Roman"/>
          <w:b/>
          <w:sz w:val="28"/>
          <w:szCs w:val="28"/>
          <w:lang w:val="uk-UA"/>
        </w:rPr>
        <w:t>Національна валюта (гривня):</w:t>
      </w:r>
    </w:p>
    <w:p w:rsidR="00F77CF1" w:rsidRPr="007D3A08" w:rsidRDefault="00F77CF1" w:rsidP="007D3A0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A08">
        <w:rPr>
          <w:rFonts w:ascii="Times New Roman" w:hAnsi="Times New Roman" w:cs="Times New Roman"/>
          <w:sz w:val="28"/>
          <w:szCs w:val="28"/>
          <w:lang w:val="uk-UA"/>
        </w:rPr>
        <w:t>а) грошові знаки грошової одиниці України – гривні у вигляді банкнот, монет, у тому числі обігових, пам’ятних та ювілейних монет, і в інших формах, що перебувають в обігу та є законним платіжним засобом на території України, а також вилучені або такі, що вилучаються з обігу, але підлягають обміну на грошові знаки, що перебувають в обігу;</w:t>
      </w:r>
    </w:p>
    <w:p w:rsidR="00F77CF1" w:rsidRPr="007D3A08" w:rsidRDefault="00F77CF1" w:rsidP="007D3A0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A08">
        <w:rPr>
          <w:rFonts w:ascii="Times New Roman" w:hAnsi="Times New Roman" w:cs="Times New Roman"/>
          <w:sz w:val="28"/>
          <w:szCs w:val="28"/>
          <w:lang w:val="uk-UA"/>
        </w:rPr>
        <w:t>б) кошти на рахунках у банках та інших фінансових установах, виражені у гривні;</w:t>
      </w:r>
    </w:p>
    <w:p w:rsidR="00F77CF1" w:rsidRPr="007D3A08" w:rsidRDefault="00F77CF1" w:rsidP="007D3A0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A08">
        <w:rPr>
          <w:rFonts w:ascii="Times New Roman" w:hAnsi="Times New Roman" w:cs="Times New Roman"/>
          <w:sz w:val="28"/>
          <w:szCs w:val="28"/>
          <w:lang w:val="uk-UA"/>
        </w:rPr>
        <w:t>в) електронні гроші, номіновані у гривні;</w:t>
      </w:r>
    </w:p>
    <w:p w:rsidR="00F77CF1" w:rsidRPr="007D3A08" w:rsidRDefault="00F77CF1" w:rsidP="007D3A0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A08">
        <w:rPr>
          <w:rFonts w:ascii="Times New Roman" w:hAnsi="Times New Roman" w:cs="Times New Roman"/>
          <w:sz w:val="28"/>
          <w:szCs w:val="28"/>
          <w:lang w:val="uk-UA"/>
        </w:rPr>
        <w:t>г) цифрові гроші Національного банку України (п. 6 ст. 1 Закону України «Про валюту і валютні операції»).</w:t>
      </w:r>
    </w:p>
    <w:p w:rsidR="00F77CF1" w:rsidRPr="007D3A08" w:rsidRDefault="00F77CF1" w:rsidP="007D3A0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A08">
        <w:rPr>
          <w:rFonts w:ascii="Times New Roman" w:hAnsi="Times New Roman" w:cs="Times New Roman"/>
          <w:sz w:val="28"/>
          <w:szCs w:val="28"/>
          <w:lang w:val="uk-UA"/>
        </w:rPr>
        <w:t>Іноземна валюта:</w:t>
      </w:r>
    </w:p>
    <w:p w:rsidR="00F77CF1" w:rsidRPr="007D3A08" w:rsidRDefault="00F77CF1" w:rsidP="007D3A0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A08">
        <w:rPr>
          <w:rFonts w:ascii="Times New Roman" w:hAnsi="Times New Roman" w:cs="Times New Roman"/>
          <w:sz w:val="28"/>
          <w:szCs w:val="28"/>
          <w:lang w:val="uk-UA"/>
        </w:rPr>
        <w:t>а) грошові знаки грошових одиниць іноземних держав у вигляді банкнот, казначейських білетів, монет, що перебувають в обігу та є законним платіжним засобом на території відповідної іноземної держави або групи іноземних держав, а також вилучені або такі, що вилучаються з обігу, але підлягають обміну на грошові знаки, що перебувають в обігу;</w:t>
      </w:r>
    </w:p>
    <w:p w:rsidR="00F77CF1" w:rsidRPr="007D3A08" w:rsidRDefault="00F77CF1" w:rsidP="007D3A0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A08">
        <w:rPr>
          <w:rFonts w:ascii="Times New Roman" w:hAnsi="Times New Roman" w:cs="Times New Roman"/>
          <w:sz w:val="28"/>
          <w:szCs w:val="28"/>
          <w:lang w:val="uk-UA"/>
        </w:rPr>
        <w:t>б) кошти на рахунках у банках та інших фінансових установах, виражені у грошових одиницях іноземних держав і міжнародних розрахункових (клірингових) одиницях (зокрема у спеціальних правах запозичення), що належать до виплати в іноземній валюті;</w:t>
      </w:r>
    </w:p>
    <w:p w:rsidR="00F77CF1" w:rsidRPr="007D3A08" w:rsidRDefault="00F77CF1" w:rsidP="007D3A0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A08">
        <w:rPr>
          <w:rFonts w:ascii="Times New Roman" w:hAnsi="Times New Roman" w:cs="Times New Roman"/>
          <w:sz w:val="28"/>
          <w:szCs w:val="28"/>
          <w:lang w:val="uk-UA"/>
        </w:rPr>
        <w:t>в) електронні гроші, номіновані у грошових одиницях іноземних держав та (або) банківських металах (п. 5 ст. 1 Закону України «Про валюту і валютні операції»).</w:t>
      </w:r>
    </w:p>
    <w:p w:rsidR="00623B24" w:rsidRPr="007D3A08" w:rsidRDefault="008A289A" w:rsidP="007D3A08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A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Докладніше </w:t>
      </w:r>
      <w:r w:rsidRPr="007D3A08">
        <w:rPr>
          <w:rFonts w:ascii="Times New Roman" w:hAnsi="Times New Roman" w:cs="Times New Roman"/>
          <w:sz w:val="28"/>
          <w:szCs w:val="28"/>
          <w:lang w:val="uk-UA"/>
        </w:rPr>
        <w:t>з Порядком інформування НАЗК про відкриття валютного рахунку за посиланням</w:t>
      </w:r>
      <w:r w:rsidR="007D3A0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7D3A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="00623B24" w:rsidRPr="007D3A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https://zakon.rada.gov.ua/laws/show/z0989-21#Text</w:t>
        </w:r>
      </w:hyperlink>
      <w:r w:rsidR="00623B24" w:rsidRPr="007D3A08">
        <w:rPr>
          <w:rFonts w:ascii="Times New Roman" w:hAnsi="Times New Roman" w:cs="Times New Roman"/>
          <w:sz w:val="28"/>
          <w:szCs w:val="28"/>
          <w:lang w:val="uk-UA"/>
        </w:rPr>
        <w:t>, або за QR-кодом:</w:t>
      </w:r>
    </w:p>
    <w:p w:rsidR="008A289A" w:rsidRDefault="00623B24" w:rsidP="007D3A08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3A08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>
            <wp:extent cx="1285875" cy="1285875"/>
            <wp:effectExtent l="19050" t="0" r="9525" b="0"/>
            <wp:docPr id="1" name="Рисунок 0" descr="QR  порядок подання інформації про валютний рах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 порядок подання інформації про валютний рахунок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6281" cy="128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A08" w:rsidRPr="007D3A08" w:rsidRDefault="007D3A08" w:rsidP="007D3A08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5429" w:rsidRPr="00B62EEE" w:rsidRDefault="00DC5429" w:rsidP="007D3A08">
      <w:pPr>
        <w:spacing w:after="0" w:line="240" w:lineRule="auto"/>
        <w:ind w:left="567" w:firstLine="709"/>
        <w:jc w:val="both"/>
        <w:rPr>
          <w:b/>
          <w:i/>
          <w:sz w:val="20"/>
          <w:szCs w:val="20"/>
        </w:rPr>
      </w:pPr>
    </w:p>
    <w:sectPr w:rsidR="00DC5429" w:rsidRPr="00B62EEE" w:rsidSect="007D3A08">
      <w:footerReference w:type="default" r:id="rId10"/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0BC" w:rsidRDefault="003A40BC" w:rsidP="00B62EEE">
      <w:pPr>
        <w:spacing w:after="0" w:line="240" w:lineRule="auto"/>
      </w:pPr>
      <w:r>
        <w:separator/>
      </w:r>
    </w:p>
  </w:endnote>
  <w:endnote w:type="continuationSeparator" w:id="1">
    <w:p w:rsidR="003A40BC" w:rsidRDefault="003A40BC" w:rsidP="00B6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EEE" w:rsidRDefault="00B62EEE">
    <w:pPr>
      <w:pStyle w:val="af"/>
    </w:pPr>
    <w:r>
      <w:rPr>
        <w:noProof/>
        <w:lang w:eastAsia="zh-TW"/>
      </w:rPr>
      <w:pict>
        <v:group id="_x0000_s9219" style="position:absolute;left:0;text-align:left;margin-left:6.75pt;margin-top:760.65pt;width:594.45pt;height:51pt;flip:y;z-index:251662336;mso-width-percent:1000;mso-height-percent:900;mso-position-horizontal-relative:page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922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922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4058F9">
      <w:rPr>
        <w:rFonts w:ascii="Times New Roman" w:eastAsia="Times New Roman" w:hAnsi="Times New Roman" w:cs="Times New Roman"/>
        <w:i/>
        <w:iCs/>
        <w:color w:val="1D1D1B"/>
        <w:sz w:val="24"/>
        <w:szCs w:val="24"/>
        <w:bdr w:val="none" w:sz="0" w:space="0" w:color="auto" w:frame="1"/>
        <w:lang w:eastAsia="uk-UA"/>
      </w:rPr>
      <w:t xml:space="preserve">Пам’ятку підготовлено </w:t>
    </w:r>
    <w:r>
      <w:rPr>
        <w:rFonts w:ascii="Times New Roman" w:eastAsia="Times New Roman" w:hAnsi="Times New Roman" w:cs="Times New Roman"/>
        <w:i/>
        <w:iCs/>
        <w:color w:val="1D1D1B"/>
        <w:sz w:val="24"/>
        <w:szCs w:val="24"/>
        <w:bdr w:val="none" w:sz="0" w:space="0" w:color="auto" w:frame="1"/>
        <w:lang w:eastAsia="uk-UA"/>
      </w:rPr>
      <w:t>уповноваженим підрозділом з питань запобігання та</w:t>
    </w:r>
    <w:r w:rsidRPr="004058F9">
      <w:rPr>
        <w:rFonts w:ascii="Times New Roman" w:eastAsia="Times New Roman" w:hAnsi="Times New Roman" w:cs="Times New Roman"/>
        <w:i/>
        <w:iCs/>
        <w:color w:val="1D1D1B"/>
        <w:sz w:val="24"/>
        <w:szCs w:val="24"/>
        <w:bdr w:val="none" w:sz="0" w:space="0" w:color="auto" w:frame="1"/>
        <w:lang w:eastAsia="uk-UA"/>
      </w:rPr>
      <w:t xml:space="preserve"> виявлення корупції </w:t>
    </w:r>
    <w:r>
      <w:rPr>
        <w:rFonts w:ascii="Times New Roman" w:eastAsia="Times New Roman" w:hAnsi="Times New Roman" w:cs="Times New Roman"/>
        <w:i/>
        <w:iCs/>
        <w:color w:val="1D1D1B"/>
        <w:sz w:val="24"/>
        <w:szCs w:val="24"/>
        <w:bdr w:val="none" w:sz="0" w:space="0" w:color="auto" w:frame="1"/>
        <w:lang w:eastAsia="uk-UA"/>
      </w:rPr>
      <w:t>виконавчого комітету Первомайської міської ради Харківської області</w:t>
    </w:r>
    <w:r>
      <w:rPr>
        <w:rFonts w:asciiTheme="majorHAnsi" w:hAnsiTheme="majorHAnsi" w:cstheme="majorHAnsi"/>
      </w:rPr>
      <w:t xml:space="preserve"> 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  <w:lang w:val="uk-UA"/>
      </w:rPr>
      <w:t>Сторінка</w:t>
    </w:r>
    <w:r>
      <w:rPr>
        <w:rFonts w:asciiTheme="majorHAnsi" w:hAnsiTheme="majorHAnsi" w:cstheme="majorHAnsi"/>
      </w:rPr>
      <w:t xml:space="preserve"> </w:t>
    </w:r>
    <w:fldSimple w:instr=" PAGE   \* MERGEFORMAT ">
      <w:r w:rsidRPr="00B62EEE">
        <w:rPr>
          <w:rFonts w:asciiTheme="majorHAnsi" w:hAnsiTheme="majorHAnsi" w:cstheme="majorHAnsi"/>
          <w:noProof/>
        </w:rPr>
        <w:t>1</w:t>
      </w:r>
    </w:fldSimple>
    <w:r>
      <w:rPr>
        <w:noProof/>
        <w:lang w:eastAsia="zh-TW"/>
      </w:rPr>
      <w:pict>
        <v:rect id="_x0000_s9218" style="position:absolute;left:0;text-align:left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>
      <w:rPr>
        <w:noProof/>
        <w:lang w:eastAsia="zh-TW"/>
      </w:rPr>
      <w:pict>
        <v:rect id="_x0000_s9217" style="position:absolute;left:0;text-align:left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0BC" w:rsidRDefault="003A40BC" w:rsidP="00B62EEE">
      <w:pPr>
        <w:spacing w:after="0" w:line="240" w:lineRule="auto"/>
      </w:pPr>
      <w:r>
        <w:separator/>
      </w:r>
    </w:p>
  </w:footnote>
  <w:footnote w:type="continuationSeparator" w:id="1">
    <w:p w:rsidR="003A40BC" w:rsidRDefault="003A40BC" w:rsidP="00B62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EFF"/>
    <w:multiLevelType w:val="hybridMultilevel"/>
    <w:tmpl w:val="ACC6C18A"/>
    <w:lvl w:ilvl="0" w:tplc="59C2F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06BE7"/>
    <w:multiLevelType w:val="hybridMultilevel"/>
    <w:tmpl w:val="03761B4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6E1319B5"/>
    <w:multiLevelType w:val="multilevel"/>
    <w:tmpl w:val="EEA2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  <o:shapelayout v:ext="edit">
      <o:idmap v:ext="edit" data="9"/>
      <o:rules v:ext="edit">
        <o:r id="V:Rule1" type="connector" idref="#_x0000_s922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77CF1"/>
    <w:rsid w:val="0011404B"/>
    <w:rsid w:val="001B279B"/>
    <w:rsid w:val="00281017"/>
    <w:rsid w:val="002A37EC"/>
    <w:rsid w:val="003A40BC"/>
    <w:rsid w:val="00562541"/>
    <w:rsid w:val="00590627"/>
    <w:rsid w:val="00623B24"/>
    <w:rsid w:val="00663212"/>
    <w:rsid w:val="0069027E"/>
    <w:rsid w:val="006B74CF"/>
    <w:rsid w:val="006E50F6"/>
    <w:rsid w:val="007263E0"/>
    <w:rsid w:val="00753525"/>
    <w:rsid w:val="007A563C"/>
    <w:rsid w:val="007D3A08"/>
    <w:rsid w:val="007D4301"/>
    <w:rsid w:val="00804249"/>
    <w:rsid w:val="00822B51"/>
    <w:rsid w:val="008A289A"/>
    <w:rsid w:val="008A4441"/>
    <w:rsid w:val="0094018A"/>
    <w:rsid w:val="00995280"/>
    <w:rsid w:val="00B15A0C"/>
    <w:rsid w:val="00B62EEE"/>
    <w:rsid w:val="00D2740A"/>
    <w:rsid w:val="00DC5429"/>
    <w:rsid w:val="00E3564F"/>
    <w:rsid w:val="00F535DE"/>
    <w:rsid w:val="00F7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4F"/>
    <w:pPr>
      <w:ind w:firstLine="567"/>
    </w:pPr>
  </w:style>
  <w:style w:type="paragraph" w:styleId="1">
    <w:name w:val="heading 1"/>
    <w:basedOn w:val="a"/>
    <w:link w:val="10"/>
    <w:uiPriority w:val="9"/>
    <w:qFormat/>
    <w:rsid w:val="00F77CF1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7CF1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C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7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77C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7CF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77CF1"/>
    <w:rPr>
      <w:i/>
      <w:iCs/>
    </w:rPr>
  </w:style>
  <w:style w:type="character" w:styleId="a6">
    <w:name w:val="Strong"/>
    <w:basedOn w:val="a0"/>
    <w:uiPriority w:val="22"/>
    <w:qFormat/>
    <w:rsid w:val="00F77CF1"/>
    <w:rPr>
      <w:b/>
      <w:bCs/>
    </w:rPr>
  </w:style>
  <w:style w:type="paragraph" w:styleId="a7">
    <w:name w:val="List Paragraph"/>
    <w:basedOn w:val="a"/>
    <w:uiPriority w:val="34"/>
    <w:qFormat/>
    <w:rsid w:val="00F535DE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8A289A"/>
    <w:rPr>
      <w:color w:val="800080" w:themeColor="followedHyperlink"/>
      <w:u w:val="single"/>
    </w:rPr>
  </w:style>
  <w:style w:type="paragraph" w:styleId="a9">
    <w:name w:val="Body Text"/>
    <w:basedOn w:val="a"/>
    <w:link w:val="aa"/>
    <w:semiHidden/>
    <w:unhideWhenUsed/>
    <w:rsid w:val="002A37EC"/>
    <w:pPr>
      <w:suppressAutoHyphens/>
      <w:spacing w:after="140" w:line="288" w:lineRule="auto"/>
      <w:ind w:firstLine="0"/>
    </w:pPr>
    <w:rPr>
      <w:rFonts w:ascii="Liberation Serif" w:eastAsia="SimSun" w:hAnsi="Liberation Serif" w:cs="Arial"/>
      <w:kern w:val="2"/>
      <w:sz w:val="24"/>
      <w:szCs w:val="24"/>
      <w:lang w:val="uk-UA" w:eastAsia="zh-CN" w:bidi="hi-IN"/>
    </w:rPr>
  </w:style>
  <w:style w:type="character" w:customStyle="1" w:styleId="aa">
    <w:name w:val="Основной текст Знак"/>
    <w:basedOn w:val="a0"/>
    <w:link w:val="a9"/>
    <w:semiHidden/>
    <w:rsid w:val="002A37EC"/>
    <w:rPr>
      <w:rFonts w:ascii="Liberation Serif" w:eastAsia="SimSun" w:hAnsi="Liberation Serif" w:cs="Arial"/>
      <w:kern w:val="2"/>
      <w:sz w:val="24"/>
      <w:szCs w:val="24"/>
      <w:lang w:val="uk-UA"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62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3B24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B62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62EEE"/>
  </w:style>
  <w:style w:type="paragraph" w:styleId="af">
    <w:name w:val="footer"/>
    <w:basedOn w:val="a"/>
    <w:link w:val="af0"/>
    <w:uiPriority w:val="99"/>
    <w:semiHidden/>
    <w:unhideWhenUsed/>
    <w:rsid w:val="00B62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62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350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0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97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1668343">
              <w:marLeft w:val="0"/>
              <w:marRight w:val="0"/>
              <w:marTop w:val="300"/>
              <w:marBottom w:val="150"/>
              <w:divBdr>
                <w:top w:val="single" w:sz="6" w:space="2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56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4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7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568847">
              <w:marLeft w:val="0"/>
              <w:marRight w:val="0"/>
              <w:marTop w:val="300"/>
              <w:marBottom w:val="150"/>
              <w:divBdr>
                <w:top w:val="single" w:sz="6" w:space="2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17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8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6133498">
              <w:marLeft w:val="0"/>
              <w:marRight w:val="0"/>
              <w:marTop w:val="300"/>
              <w:marBottom w:val="150"/>
              <w:divBdr>
                <w:top w:val="single" w:sz="6" w:space="2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4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1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85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55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2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0851945">
              <w:marLeft w:val="0"/>
              <w:marRight w:val="0"/>
              <w:marTop w:val="300"/>
              <w:marBottom w:val="150"/>
              <w:divBdr>
                <w:top w:val="single" w:sz="6" w:space="2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76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4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4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989-21#Tex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44F9D-7E83-4543-828C-CD94CE47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Сторожев</cp:lastModifiedBy>
  <cp:revision>9</cp:revision>
  <dcterms:created xsi:type="dcterms:W3CDTF">2023-04-21T10:16:00Z</dcterms:created>
  <dcterms:modified xsi:type="dcterms:W3CDTF">2023-04-21T10:57:00Z</dcterms:modified>
</cp:coreProperties>
</file>